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1F" w:rsidRPr="00C35C35" w:rsidRDefault="000F291F" w:rsidP="000F291F">
      <w:pPr>
        <w:pStyle w:val="1"/>
        <w:pageBreakBefore/>
        <w:jc w:val="center"/>
        <w:rPr>
          <w:sz w:val="24"/>
          <w:lang w:val="uk-UA"/>
        </w:rPr>
      </w:pPr>
      <w:r w:rsidRPr="00C35C35">
        <w:rPr>
          <w:sz w:val="24"/>
          <w:lang w:val="uk-UA"/>
        </w:rPr>
        <w:t xml:space="preserve">ТЕМАТИЧНИЙ І КАЛЕНДАРНИЙ ПЛАН ПРАКТИЧНИХ ЗАНЯТЬ </w:t>
      </w:r>
    </w:p>
    <w:p w:rsidR="000F291F" w:rsidRPr="00C35C35" w:rsidRDefault="000F291F" w:rsidP="000F291F">
      <w:pPr>
        <w:pStyle w:val="1"/>
        <w:jc w:val="center"/>
        <w:rPr>
          <w:sz w:val="24"/>
          <w:lang w:val="uk-UA"/>
        </w:rPr>
      </w:pPr>
      <w:r w:rsidRPr="00C35C35">
        <w:rPr>
          <w:sz w:val="24"/>
          <w:lang w:val="uk-UA"/>
        </w:rPr>
        <w:t xml:space="preserve">з інфекційних хвороб для студентів </w:t>
      </w:r>
    </w:p>
    <w:p w:rsidR="000F291F" w:rsidRPr="00C35C35" w:rsidRDefault="000F291F" w:rsidP="000F291F">
      <w:pPr>
        <w:pStyle w:val="1"/>
        <w:jc w:val="center"/>
        <w:rPr>
          <w:b/>
          <w:i/>
          <w:sz w:val="24"/>
          <w:lang w:val="uk-UA"/>
        </w:rPr>
      </w:pPr>
      <w:r w:rsidRPr="00C35C35">
        <w:rPr>
          <w:b/>
          <w:i/>
          <w:sz w:val="24"/>
          <w:lang w:val="uk-UA"/>
        </w:rPr>
        <w:t>6 курсу медичного факультету за спеціальністю “Лікувальна справа”</w:t>
      </w:r>
    </w:p>
    <w:p w:rsidR="000F291F" w:rsidRPr="00C35C35" w:rsidRDefault="000F291F" w:rsidP="000F291F">
      <w:pPr>
        <w:pStyle w:val="1"/>
        <w:jc w:val="center"/>
        <w:rPr>
          <w:sz w:val="24"/>
          <w:lang w:val="uk-UA"/>
        </w:rPr>
      </w:pPr>
      <w:r w:rsidRPr="00C35C35">
        <w:rPr>
          <w:sz w:val="24"/>
          <w:lang w:val="uk-UA"/>
        </w:rPr>
        <w:t xml:space="preserve">на </w:t>
      </w:r>
      <w:r>
        <w:rPr>
          <w:sz w:val="24"/>
          <w:szCs w:val="24"/>
          <w:lang w:val="uk-UA"/>
        </w:rPr>
        <w:t>весняний</w:t>
      </w:r>
      <w:r w:rsidRPr="00C35C35">
        <w:rPr>
          <w:sz w:val="24"/>
          <w:lang w:val="uk-UA"/>
        </w:rPr>
        <w:t xml:space="preserve"> семестр </w:t>
      </w:r>
      <w:r>
        <w:rPr>
          <w:sz w:val="24"/>
          <w:lang w:val="uk-UA"/>
        </w:rPr>
        <w:t>201</w:t>
      </w:r>
      <w:r w:rsidRPr="0059210C">
        <w:rPr>
          <w:sz w:val="24"/>
        </w:rPr>
        <w:t>7</w:t>
      </w:r>
      <w:r w:rsidRPr="00C35C35">
        <w:rPr>
          <w:sz w:val="24"/>
          <w:lang w:val="uk-UA"/>
        </w:rPr>
        <w:t xml:space="preserve"> -</w:t>
      </w:r>
      <w:r>
        <w:rPr>
          <w:sz w:val="24"/>
          <w:lang w:val="uk-UA"/>
        </w:rPr>
        <w:t>201</w:t>
      </w:r>
      <w:r w:rsidRPr="0059210C">
        <w:rPr>
          <w:sz w:val="24"/>
        </w:rPr>
        <w:t>8</w:t>
      </w:r>
      <w:r w:rsidRPr="00C35C35">
        <w:rPr>
          <w:sz w:val="24"/>
          <w:lang w:val="uk-UA"/>
        </w:rPr>
        <w:t xml:space="preserve">  навчального року</w:t>
      </w:r>
    </w:p>
    <w:p w:rsidR="000F291F" w:rsidRPr="00B57BC0" w:rsidRDefault="000F291F" w:rsidP="000F291F">
      <w:pPr>
        <w:pStyle w:val="1"/>
        <w:jc w:val="center"/>
        <w:rPr>
          <w:sz w:val="24"/>
          <w:lang w:val="uk-UA"/>
        </w:rPr>
      </w:pPr>
    </w:p>
    <w:p w:rsidR="000F291F" w:rsidRPr="00B57BC0" w:rsidRDefault="000F291F" w:rsidP="000F291F">
      <w:pPr>
        <w:pStyle w:val="1"/>
        <w:jc w:val="both"/>
        <w:rPr>
          <w:sz w:val="24"/>
          <w:lang w:val="uk-UA"/>
        </w:rPr>
      </w:pPr>
      <w:r w:rsidRPr="00B57BC0">
        <w:rPr>
          <w:sz w:val="24"/>
          <w:lang w:val="uk-UA"/>
        </w:rPr>
        <w:t xml:space="preserve">Цикл з </w:t>
      </w:r>
      <w:r w:rsidRPr="0077169C">
        <w:rPr>
          <w:sz w:val="24"/>
        </w:rPr>
        <w:t>09</w:t>
      </w:r>
      <w:r w:rsidRPr="00B57BC0">
        <w:rPr>
          <w:sz w:val="24"/>
          <w:lang w:val="uk-UA"/>
        </w:rPr>
        <w:t>.0</w:t>
      </w:r>
      <w:r>
        <w:rPr>
          <w:sz w:val="24"/>
          <w:lang w:val="uk-UA"/>
        </w:rPr>
        <w:t>1</w:t>
      </w:r>
      <w:r w:rsidRPr="00B57BC0">
        <w:rPr>
          <w:sz w:val="24"/>
          <w:lang w:val="uk-UA"/>
        </w:rPr>
        <w:t xml:space="preserve">. до </w:t>
      </w:r>
      <w:r>
        <w:rPr>
          <w:sz w:val="24"/>
          <w:lang w:val="uk-UA"/>
        </w:rPr>
        <w:t>1</w:t>
      </w:r>
      <w:r w:rsidRPr="0077169C">
        <w:rPr>
          <w:sz w:val="24"/>
        </w:rPr>
        <w:t>1</w:t>
      </w:r>
      <w:r w:rsidRPr="00B57BC0">
        <w:rPr>
          <w:sz w:val="24"/>
          <w:lang w:val="uk-UA"/>
        </w:rPr>
        <w:t>.</w:t>
      </w:r>
      <w:r>
        <w:rPr>
          <w:sz w:val="24"/>
          <w:lang w:val="uk-UA"/>
        </w:rPr>
        <w:t>05</w:t>
      </w:r>
      <w:r w:rsidRPr="00B57BC0">
        <w:rPr>
          <w:sz w:val="24"/>
          <w:lang w:val="uk-UA"/>
        </w:rPr>
        <w:t>.201</w:t>
      </w:r>
      <w:r w:rsidRPr="0059210C">
        <w:rPr>
          <w:sz w:val="24"/>
        </w:rPr>
        <w:t>8</w:t>
      </w:r>
      <w:r w:rsidRPr="00B57BC0">
        <w:rPr>
          <w:sz w:val="24"/>
          <w:lang w:val="uk-UA"/>
        </w:rPr>
        <w:t xml:space="preserve"> р. </w:t>
      </w:r>
    </w:p>
    <w:p w:rsidR="000F291F" w:rsidRPr="00B57BC0" w:rsidRDefault="000F291F" w:rsidP="000F291F">
      <w:pPr>
        <w:pStyle w:val="1"/>
        <w:jc w:val="both"/>
        <w:rPr>
          <w:sz w:val="24"/>
          <w:lang w:val="uk-UA"/>
        </w:rPr>
      </w:pPr>
      <w:r w:rsidRPr="00B57BC0">
        <w:rPr>
          <w:sz w:val="24"/>
          <w:lang w:val="uk-UA"/>
        </w:rPr>
        <w:t>Кількість годин:</w:t>
      </w:r>
      <w:r w:rsidRPr="00B57BC0">
        <w:rPr>
          <w:sz w:val="24"/>
          <w:lang w:val="uk-UA"/>
        </w:rPr>
        <w:tab/>
        <w:t>для аудиторних занять</w:t>
      </w:r>
      <w:r w:rsidRPr="00B57BC0">
        <w:rPr>
          <w:sz w:val="24"/>
          <w:lang w:val="uk-UA"/>
        </w:rPr>
        <w:tab/>
        <w:t>- 30</w:t>
      </w:r>
    </w:p>
    <w:p w:rsidR="000F291F" w:rsidRPr="00B57BC0" w:rsidRDefault="000F291F" w:rsidP="000F291F">
      <w:pPr>
        <w:pStyle w:val="1"/>
        <w:jc w:val="both"/>
        <w:rPr>
          <w:sz w:val="24"/>
          <w:lang w:val="uk-UA"/>
        </w:rPr>
      </w:pPr>
      <w:r w:rsidRPr="00B57BC0">
        <w:rPr>
          <w:sz w:val="24"/>
          <w:lang w:val="uk-UA"/>
        </w:rPr>
        <w:tab/>
      </w:r>
      <w:r w:rsidRPr="00B57BC0">
        <w:rPr>
          <w:sz w:val="24"/>
          <w:lang w:val="uk-UA"/>
        </w:rPr>
        <w:tab/>
      </w:r>
      <w:r w:rsidRPr="00B57BC0">
        <w:rPr>
          <w:sz w:val="24"/>
          <w:lang w:val="uk-UA"/>
        </w:rPr>
        <w:tab/>
        <w:t>для самостійної роботи</w:t>
      </w:r>
      <w:r w:rsidRPr="00B57BC0">
        <w:rPr>
          <w:sz w:val="24"/>
          <w:lang w:val="uk-UA"/>
        </w:rPr>
        <w:tab/>
        <w:t>- 30</w:t>
      </w:r>
    </w:p>
    <w:p w:rsidR="000F291F" w:rsidRPr="00B57BC0" w:rsidRDefault="000F291F" w:rsidP="000F291F">
      <w:pPr>
        <w:pStyle w:val="1"/>
        <w:jc w:val="both"/>
        <w:rPr>
          <w:sz w:val="24"/>
          <w:lang w:val="uk-UA"/>
        </w:rPr>
      </w:pPr>
      <w:r w:rsidRPr="00B57BC0">
        <w:rPr>
          <w:sz w:val="24"/>
          <w:u w:val="single"/>
          <w:lang w:val="uk-UA"/>
        </w:rPr>
        <w:t>Робочий день:</w:t>
      </w:r>
    </w:p>
    <w:p w:rsidR="000F291F" w:rsidRPr="00B57BC0" w:rsidRDefault="000F291F" w:rsidP="000F291F">
      <w:pPr>
        <w:pStyle w:val="1"/>
        <w:ind w:left="675"/>
        <w:jc w:val="both"/>
        <w:rPr>
          <w:sz w:val="24"/>
          <w:lang w:val="uk-UA"/>
        </w:rPr>
      </w:pPr>
      <w:r w:rsidRPr="00B57BC0">
        <w:rPr>
          <w:sz w:val="24"/>
          <w:lang w:val="uk-UA"/>
        </w:rPr>
        <w:t>Курація хворих (4-6 чол.)</w:t>
      </w:r>
      <w:r w:rsidRPr="00B57BC0">
        <w:rPr>
          <w:sz w:val="24"/>
          <w:lang w:val="uk-UA"/>
        </w:rPr>
        <w:tab/>
      </w:r>
      <w:r w:rsidRPr="00B57BC0">
        <w:rPr>
          <w:sz w:val="24"/>
          <w:lang w:val="uk-UA"/>
        </w:rPr>
        <w:tab/>
        <w:t>-   4 год.</w:t>
      </w:r>
    </w:p>
    <w:p w:rsidR="000F291F" w:rsidRPr="00B57BC0" w:rsidRDefault="000F291F" w:rsidP="000F291F">
      <w:pPr>
        <w:pStyle w:val="1"/>
        <w:ind w:left="675"/>
        <w:jc w:val="both"/>
        <w:rPr>
          <w:sz w:val="24"/>
          <w:lang w:val="uk-UA"/>
        </w:rPr>
      </w:pPr>
      <w:r w:rsidRPr="00B57BC0">
        <w:rPr>
          <w:sz w:val="24"/>
          <w:lang w:val="uk-UA"/>
        </w:rPr>
        <w:t xml:space="preserve">Обходи хворих з клінічним їх розбором за участю викладача; </w:t>
      </w:r>
    </w:p>
    <w:p w:rsidR="000F291F" w:rsidRPr="00B57BC0" w:rsidRDefault="000F291F" w:rsidP="000F291F">
      <w:pPr>
        <w:pStyle w:val="1"/>
        <w:ind w:firstLine="708"/>
        <w:jc w:val="both"/>
        <w:rPr>
          <w:sz w:val="24"/>
          <w:lang w:val="uk-UA"/>
        </w:rPr>
      </w:pPr>
      <w:r w:rsidRPr="00B57BC0">
        <w:rPr>
          <w:sz w:val="24"/>
          <w:lang w:val="uk-UA"/>
        </w:rPr>
        <w:t>опрацювання тематики заняття</w:t>
      </w:r>
      <w:r w:rsidRPr="00B57BC0">
        <w:rPr>
          <w:sz w:val="24"/>
          <w:lang w:val="uk-UA"/>
        </w:rPr>
        <w:tab/>
        <w:t>-  2 год.</w:t>
      </w:r>
    </w:p>
    <w:p w:rsidR="000F291F" w:rsidRPr="00B57BC0" w:rsidRDefault="000F291F" w:rsidP="000F291F">
      <w:pPr>
        <w:pStyle w:val="1"/>
        <w:jc w:val="both"/>
        <w:rPr>
          <w:sz w:val="24"/>
          <w:u w:val="single"/>
          <w:lang w:val="uk-UA"/>
        </w:rPr>
      </w:pPr>
      <w:r w:rsidRPr="00B57BC0">
        <w:rPr>
          <w:sz w:val="24"/>
          <w:u w:val="single"/>
          <w:lang w:val="uk-UA"/>
        </w:rPr>
        <w:t>Клінічні розбори провадяться з врахуванням таких методологічних підходів:</w:t>
      </w:r>
    </w:p>
    <w:p w:rsidR="000F291F" w:rsidRPr="00B57BC0" w:rsidRDefault="000F291F" w:rsidP="000F291F">
      <w:pPr>
        <w:pStyle w:val="1"/>
        <w:jc w:val="both"/>
        <w:rPr>
          <w:sz w:val="24"/>
          <w:lang w:val="uk-UA"/>
        </w:rPr>
      </w:pPr>
      <w:r w:rsidRPr="00B57BC0">
        <w:rPr>
          <w:sz w:val="24"/>
          <w:lang w:val="uk-UA"/>
        </w:rPr>
        <w:t>Ранні клінічні прояви.</w:t>
      </w:r>
    </w:p>
    <w:p w:rsidR="000F291F" w:rsidRPr="00B57BC0" w:rsidRDefault="000F291F" w:rsidP="000F291F">
      <w:pPr>
        <w:pStyle w:val="1"/>
        <w:jc w:val="both"/>
        <w:rPr>
          <w:sz w:val="24"/>
          <w:lang w:val="uk-UA"/>
        </w:rPr>
      </w:pPr>
      <w:r w:rsidRPr="00B57BC0">
        <w:rPr>
          <w:sz w:val="24"/>
          <w:lang w:val="uk-UA"/>
        </w:rPr>
        <w:t>Провідні клініко-патогенетичні симптоми і синдроми.</w:t>
      </w:r>
    </w:p>
    <w:p w:rsidR="000F291F" w:rsidRPr="00B57BC0" w:rsidRDefault="000F291F" w:rsidP="000F291F">
      <w:pPr>
        <w:pStyle w:val="1"/>
        <w:jc w:val="both"/>
        <w:rPr>
          <w:sz w:val="24"/>
          <w:lang w:val="uk-UA"/>
        </w:rPr>
      </w:pPr>
      <w:r w:rsidRPr="00B57BC0">
        <w:rPr>
          <w:sz w:val="24"/>
          <w:lang w:val="uk-UA"/>
        </w:rPr>
        <w:t>Методи розпізнавання на різних стадіях хвороби.</w:t>
      </w:r>
    </w:p>
    <w:p w:rsidR="000F291F" w:rsidRPr="00B57BC0" w:rsidRDefault="000F291F" w:rsidP="000F291F">
      <w:pPr>
        <w:pStyle w:val="1"/>
        <w:jc w:val="both"/>
        <w:rPr>
          <w:sz w:val="24"/>
          <w:lang w:val="uk-UA"/>
        </w:rPr>
      </w:pPr>
      <w:r w:rsidRPr="00B57BC0">
        <w:rPr>
          <w:sz w:val="24"/>
          <w:lang w:val="uk-UA"/>
        </w:rPr>
        <w:t>Вибір оптимальних методів специфічного лабораторного та інструментального обстеження інфекційних хворих і клінічна інтерпретація їх результатів.</w:t>
      </w:r>
    </w:p>
    <w:p w:rsidR="000F291F" w:rsidRPr="00B57BC0" w:rsidRDefault="000F291F" w:rsidP="000F291F">
      <w:pPr>
        <w:pStyle w:val="1"/>
        <w:jc w:val="both"/>
        <w:rPr>
          <w:sz w:val="24"/>
          <w:lang w:val="uk-UA"/>
        </w:rPr>
      </w:pPr>
      <w:r w:rsidRPr="00B57BC0">
        <w:rPr>
          <w:sz w:val="24"/>
          <w:lang w:val="uk-UA"/>
        </w:rPr>
        <w:t>Диференціальна діагностика з подібними за клінікою інфекційними та соматичними хворобами.</w:t>
      </w:r>
    </w:p>
    <w:p w:rsidR="000F291F" w:rsidRPr="00B57BC0" w:rsidRDefault="000F291F" w:rsidP="000F291F">
      <w:pPr>
        <w:pStyle w:val="1"/>
        <w:jc w:val="both"/>
        <w:rPr>
          <w:sz w:val="24"/>
          <w:lang w:val="uk-UA"/>
        </w:rPr>
      </w:pPr>
      <w:r w:rsidRPr="00B57BC0">
        <w:rPr>
          <w:sz w:val="24"/>
          <w:lang w:val="uk-UA"/>
        </w:rPr>
        <w:t>Засоби лікування та інтенсивної терапії при важкому перебігу і ускладненнях хвороби.</w:t>
      </w:r>
    </w:p>
    <w:p w:rsidR="000F291F" w:rsidRPr="00B57BC0" w:rsidRDefault="000F291F" w:rsidP="000F291F">
      <w:pPr>
        <w:pStyle w:val="1"/>
        <w:jc w:val="both"/>
        <w:rPr>
          <w:sz w:val="24"/>
          <w:lang w:val="uk-UA"/>
        </w:rPr>
      </w:pPr>
      <w:r w:rsidRPr="00B57BC0">
        <w:rPr>
          <w:sz w:val="24"/>
          <w:lang w:val="uk-UA"/>
        </w:rPr>
        <w:t>Профілактичні та протиепідемічні заходи.</w:t>
      </w:r>
    </w:p>
    <w:p w:rsidR="000F291F" w:rsidRPr="00B57BC0" w:rsidRDefault="000F291F" w:rsidP="000F291F">
      <w:pPr>
        <w:pStyle w:val="1"/>
        <w:jc w:val="both"/>
        <w:rPr>
          <w:sz w:val="24"/>
          <w:lang w:val="uk-UA"/>
        </w:rPr>
      </w:pPr>
    </w:p>
    <w:p w:rsidR="000F291F" w:rsidRPr="00B57BC0" w:rsidRDefault="000F291F" w:rsidP="000F291F">
      <w:pPr>
        <w:pStyle w:val="1"/>
        <w:jc w:val="both"/>
        <w:rPr>
          <w:sz w:val="24"/>
          <w:u w:val="single"/>
          <w:lang w:val="uk-UA"/>
        </w:rPr>
      </w:pPr>
      <w:r w:rsidRPr="00B57BC0">
        <w:rPr>
          <w:sz w:val="24"/>
          <w:u w:val="single"/>
          <w:lang w:val="uk-UA"/>
        </w:rPr>
        <w:t>Тематика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38"/>
        <w:gridCol w:w="850"/>
        <w:gridCol w:w="992"/>
      </w:tblGrid>
      <w:tr w:rsidR="000F291F" w:rsidRPr="00B57BC0" w:rsidTr="002D5AEC">
        <w:trPr>
          <w:cantSplit/>
        </w:trPr>
        <w:tc>
          <w:tcPr>
            <w:tcW w:w="534" w:type="dxa"/>
            <w:vMerge w:val="restart"/>
            <w:vAlign w:val="center"/>
          </w:tcPr>
          <w:p w:rsidR="000F291F" w:rsidRPr="00B57BC0" w:rsidRDefault="000F291F" w:rsidP="002D5AEC">
            <w:pPr>
              <w:pStyle w:val="1"/>
              <w:jc w:val="center"/>
              <w:rPr>
                <w:sz w:val="24"/>
                <w:lang w:val="uk-UA"/>
              </w:rPr>
            </w:pPr>
            <w:r w:rsidRPr="00B57BC0">
              <w:rPr>
                <w:sz w:val="24"/>
                <w:lang w:val="uk-UA"/>
              </w:rPr>
              <w:t>№</w:t>
            </w:r>
          </w:p>
        </w:tc>
        <w:tc>
          <w:tcPr>
            <w:tcW w:w="7938" w:type="dxa"/>
            <w:vMerge w:val="restart"/>
            <w:vAlign w:val="center"/>
          </w:tcPr>
          <w:p w:rsidR="000F291F" w:rsidRPr="00B57BC0" w:rsidRDefault="000F291F" w:rsidP="002D5AEC">
            <w:pPr>
              <w:pStyle w:val="1"/>
              <w:jc w:val="center"/>
              <w:rPr>
                <w:sz w:val="24"/>
                <w:lang w:val="uk-UA"/>
              </w:rPr>
            </w:pPr>
            <w:r w:rsidRPr="00B57BC0">
              <w:rPr>
                <w:sz w:val="24"/>
                <w:lang w:val="uk-UA"/>
              </w:rPr>
              <w:t>Т е м а</w:t>
            </w:r>
          </w:p>
        </w:tc>
        <w:tc>
          <w:tcPr>
            <w:tcW w:w="1842" w:type="dxa"/>
            <w:gridSpan w:val="2"/>
            <w:vAlign w:val="center"/>
          </w:tcPr>
          <w:p w:rsidR="000F291F" w:rsidRPr="00B57BC0" w:rsidRDefault="000F291F" w:rsidP="002D5AEC">
            <w:pPr>
              <w:pStyle w:val="1"/>
              <w:jc w:val="center"/>
              <w:rPr>
                <w:sz w:val="24"/>
                <w:lang w:val="uk-UA"/>
              </w:rPr>
            </w:pPr>
            <w:r w:rsidRPr="00B57BC0">
              <w:rPr>
                <w:sz w:val="24"/>
                <w:lang w:val="uk-UA"/>
              </w:rPr>
              <w:t>Кількість год.</w:t>
            </w:r>
          </w:p>
        </w:tc>
      </w:tr>
      <w:tr w:rsidR="000F291F" w:rsidRPr="00B57BC0" w:rsidTr="002D5AEC">
        <w:trPr>
          <w:cantSplit/>
        </w:trPr>
        <w:tc>
          <w:tcPr>
            <w:tcW w:w="534" w:type="dxa"/>
            <w:vMerge/>
            <w:vAlign w:val="center"/>
          </w:tcPr>
          <w:p w:rsidR="000F291F" w:rsidRPr="00B57BC0" w:rsidRDefault="000F291F" w:rsidP="002D5AEC">
            <w:pPr>
              <w:pStyle w:val="1"/>
              <w:jc w:val="center"/>
              <w:rPr>
                <w:sz w:val="24"/>
                <w:lang w:val="uk-UA"/>
              </w:rPr>
            </w:pPr>
          </w:p>
        </w:tc>
        <w:tc>
          <w:tcPr>
            <w:tcW w:w="7938" w:type="dxa"/>
            <w:vMerge/>
            <w:vAlign w:val="center"/>
          </w:tcPr>
          <w:p w:rsidR="000F291F" w:rsidRPr="00B57BC0" w:rsidRDefault="000F291F" w:rsidP="002D5AEC">
            <w:pPr>
              <w:pStyle w:val="1"/>
              <w:jc w:val="center"/>
              <w:rPr>
                <w:sz w:val="24"/>
                <w:lang w:val="uk-UA"/>
              </w:rPr>
            </w:pPr>
          </w:p>
        </w:tc>
        <w:tc>
          <w:tcPr>
            <w:tcW w:w="850" w:type="dxa"/>
            <w:vAlign w:val="center"/>
          </w:tcPr>
          <w:p w:rsidR="000F291F" w:rsidRPr="00B57BC0" w:rsidRDefault="000F291F" w:rsidP="002D5AEC">
            <w:pPr>
              <w:pStyle w:val="1"/>
              <w:jc w:val="center"/>
              <w:rPr>
                <w:sz w:val="24"/>
                <w:lang w:val="uk-UA"/>
              </w:rPr>
            </w:pPr>
            <w:r w:rsidRPr="00B57BC0">
              <w:rPr>
                <w:sz w:val="24"/>
                <w:lang w:val="uk-UA"/>
              </w:rPr>
              <w:t>аудит</w:t>
            </w:r>
          </w:p>
        </w:tc>
        <w:tc>
          <w:tcPr>
            <w:tcW w:w="992" w:type="dxa"/>
            <w:vAlign w:val="center"/>
          </w:tcPr>
          <w:p w:rsidR="000F291F" w:rsidRPr="00B57BC0" w:rsidRDefault="000F291F" w:rsidP="002D5AEC">
            <w:pPr>
              <w:pStyle w:val="1"/>
              <w:jc w:val="center"/>
              <w:rPr>
                <w:sz w:val="24"/>
                <w:lang w:val="uk-UA"/>
              </w:rPr>
            </w:pPr>
            <w:r w:rsidRPr="00B57BC0">
              <w:rPr>
                <w:sz w:val="24"/>
                <w:lang w:val="uk-UA"/>
              </w:rPr>
              <w:t>самост</w:t>
            </w:r>
          </w:p>
        </w:tc>
      </w:tr>
      <w:tr w:rsidR="000F291F" w:rsidRPr="00B57BC0" w:rsidTr="002D5AEC">
        <w:tc>
          <w:tcPr>
            <w:tcW w:w="534" w:type="dxa"/>
          </w:tcPr>
          <w:p w:rsidR="000F291F" w:rsidRPr="00B57BC0" w:rsidRDefault="000F291F" w:rsidP="002D5AEC">
            <w:pPr>
              <w:pStyle w:val="1"/>
              <w:numPr>
                <w:ilvl w:val="0"/>
                <w:numId w:val="1"/>
              </w:numPr>
              <w:ind w:left="0" w:firstLine="0"/>
              <w:jc w:val="center"/>
              <w:rPr>
                <w:sz w:val="24"/>
                <w:lang w:val="uk-UA"/>
              </w:rPr>
            </w:pPr>
          </w:p>
        </w:tc>
        <w:tc>
          <w:tcPr>
            <w:tcW w:w="7938" w:type="dxa"/>
          </w:tcPr>
          <w:p w:rsidR="000F291F" w:rsidRPr="00B57BC0" w:rsidRDefault="000F291F" w:rsidP="002D5AEC">
            <w:pPr>
              <w:pStyle w:val="1"/>
              <w:jc w:val="both"/>
              <w:rPr>
                <w:i/>
                <w:sz w:val="24"/>
                <w:szCs w:val="24"/>
                <w:lang w:val="uk-UA"/>
              </w:rPr>
            </w:pPr>
            <w:r w:rsidRPr="00B57BC0">
              <w:rPr>
                <w:b/>
                <w:sz w:val="24"/>
                <w:lang w:val="uk-UA"/>
              </w:rPr>
              <w:t xml:space="preserve">Актуальні питання діагностики та лікування інфекційних хвороб із переважанням фекально-орального механізму передачі. </w:t>
            </w:r>
          </w:p>
          <w:p w:rsidR="000F291F" w:rsidRPr="00B57BC0" w:rsidRDefault="000F291F" w:rsidP="002D5AEC">
            <w:pPr>
              <w:widowControl w:val="0"/>
              <w:spacing w:line="240" w:lineRule="auto"/>
              <w:ind w:firstLine="340"/>
              <w:rPr>
                <w:sz w:val="24"/>
                <w:szCs w:val="24"/>
              </w:rPr>
            </w:pPr>
            <w:r w:rsidRPr="00B57BC0">
              <w:rPr>
                <w:sz w:val="24"/>
                <w:szCs w:val="24"/>
              </w:rPr>
              <w:t>Епідеміологічні, патогенетичні і клінічні особливості кишкових інфекційних хвороб. Черевний тиф, паратифи А та В. Виявлення інфекційних хвороб серед г</w:t>
            </w:r>
            <w:r w:rsidRPr="00B57BC0">
              <w:rPr>
                <w:snapToGrid w:val="0"/>
                <w:sz w:val="24"/>
              </w:rPr>
              <w:t>арячок невідомого походження.</w:t>
            </w:r>
          </w:p>
          <w:p w:rsidR="000F291F" w:rsidRPr="00B57BC0" w:rsidRDefault="000F291F" w:rsidP="002D5AEC">
            <w:pPr>
              <w:spacing w:line="240" w:lineRule="auto"/>
              <w:ind w:firstLine="0"/>
              <w:rPr>
                <w:sz w:val="24"/>
                <w:szCs w:val="24"/>
              </w:rPr>
            </w:pPr>
            <w:r w:rsidRPr="00B57BC0">
              <w:rPr>
                <w:sz w:val="24"/>
                <w:szCs w:val="24"/>
              </w:rPr>
              <w:t xml:space="preserve">Діарейний синдром: етіологія, патогенез, класифікація в залежності від типу взаємодії мікро- і макроорганізму, клінічні особливості, лабораторна діагностика. Харчові отруєння мікробного походження. Поняття про ентеротоксигенні та ентероінвазивні діареї (сальмонельози, харчові токсикоінфекції, ешерихіози, єрсиніози, холера). Диференціальний діагноз гострих інфекційних та неінфекційних діарей (отруєння грибами, солями важких металів, загострення хронічних захворювань травної системи, гострі гінекологічні та хірургічні хвороби). </w:t>
            </w:r>
          </w:p>
          <w:p w:rsidR="000F291F" w:rsidRPr="00B57BC0" w:rsidRDefault="000F291F" w:rsidP="002D5AEC">
            <w:pPr>
              <w:spacing w:line="240" w:lineRule="auto"/>
              <w:ind w:firstLine="0"/>
              <w:rPr>
                <w:sz w:val="24"/>
                <w:szCs w:val="24"/>
              </w:rPr>
            </w:pPr>
            <w:r w:rsidRPr="00B57BC0">
              <w:rPr>
                <w:sz w:val="24"/>
                <w:szCs w:val="24"/>
              </w:rPr>
              <w:t xml:space="preserve">Особливості клініки та діагностики харчових інтоксикацій мікробного походження. Стафілококові інтоксикації, ботулізм. </w:t>
            </w:r>
          </w:p>
          <w:p w:rsidR="000F291F" w:rsidRPr="00B57BC0" w:rsidRDefault="000F291F" w:rsidP="002D5AEC">
            <w:pPr>
              <w:spacing w:line="240" w:lineRule="auto"/>
              <w:ind w:firstLine="0"/>
              <w:rPr>
                <w:sz w:val="24"/>
                <w:szCs w:val="24"/>
              </w:rPr>
            </w:pPr>
            <w:r w:rsidRPr="00B57BC0">
              <w:rPr>
                <w:sz w:val="24"/>
                <w:szCs w:val="24"/>
              </w:rPr>
              <w:t>Колітичний синдром. Кишкові інфекційні хвороби з переважним ураженням товстої кишки: шигельоз, амебіаз.</w:t>
            </w:r>
          </w:p>
          <w:p w:rsidR="000F291F" w:rsidRPr="00B57BC0" w:rsidRDefault="000F291F" w:rsidP="002D5AEC">
            <w:pPr>
              <w:spacing w:line="240" w:lineRule="auto"/>
              <w:ind w:firstLine="0"/>
              <w:rPr>
                <w:sz w:val="24"/>
                <w:szCs w:val="24"/>
              </w:rPr>
            </w:pPr>
            <w:r w:rsidRPr="00B57BC0">
              <w:rPr>
                <w:sz w:val="24"/>
                <w:szCs w:val="24"/>
              </w:rPr>
              <w:t xml:space="preserve">Особливості клінічного перебігу, діагностики та диференціальної діагностики актуальних гельмінтозів (аскаридоз, ентеробіоз, стронгілоїдоз, трихінельоз, токсокароз, опісторхоз, фасціольоз, теніаринхоз, теніоз). </w:t>
            </w:r>
          </w:p>
          <w:p w:rsidR="000F291F" w:rsidRPr="00B57BC0" w:rsidRDefault="000F291F" w:rsidP="002D5AEC">
            <w:pPr>
              <w:spacing w:line="240" w:lineRule="auto"/>
              <w:ind w:firstLine="0"/>
              <w:rPr>
                <w:sz w:val="24"/>
              </w:rPr>
            </w:pPr>
            <w:r w:rsidRPr="00B57BC0">
              <w:rPr>
                <w:sz w:val="24"/>
              </w:rPr>
              <w:t>Вірусні гепатити з ентеральним шляхом передачі (гепатит А та Е). Особливості перебігу гепатиту Е в неендемічних зонах.</w:t>
            </w:r>
          </w:p>
          <w:p w:rsidR="000F291F" w:rsidRPr="00B57BC0" w:rsidRDefault="000F291F" w:rsidP="002D5AEC">
            <w:pPr>
              <w:spacing w:line="240" w:lineRule="auto"/>
              <w:ind w:firstLine="0"/>
              <w:rPr>
                <w:b/>
                <w:sz w:val="24"/>
              </w:rPr>
            </w:pPr>
            <w:r w:rsidRPr="00B57BC0">
              <w:rPr>
                <w:sz w:val="24"/>
              </w:rPr>
              <w:t>Лікування та профілактика кишкових інфекційних хвороб.</w:t>
            </w:r>
          </w:p>
        </w:tc>
        <w:tc>
          <w:tcPr>
            <w:tcW w:w="850" w:type="dxa"/>
          </w:tcPr>
          <w:p w:rsidR="000F291F" w:rsidRPr="00B57BC0" w:rsidRDefault="000F291F" w:rsidP="002D5AEC">
            <w:pPr>
              <w:pStyle w:val="1"/>
              <w:jc w:val="center"/>
              <w:rPr>
                <w:sz w:val="24"/>
                <w:lang w:val="uk-UA"/>
              </w:rPr>
            </w:pPr>
            <w:r w:rsidRPr="00B57BC0">
              <w:rPr>
                <w:sz w:val="24"/>
                <w:lang w:val="uk-UA"/>
              </w:rPr>
              <w:t>5</w:t>
            </w:r>
          </w:p>
        </w:tc>
        <w:tc>
          <w:tcPr>
            <w:tcW w:w="992" w:type="dxa"/>
          </w:tcPr>
          <w:p w:rsidR="000F291F" w:rsidRPr="00B57BC0" w:rsidRDefault="000F291F" w:rsidP="002D5AEC">
            <w:pPr>
              <w:pStyle w:val="1"/>
              <w:jc w:val="center"/>
              <w:rPr>
                <w:sz w:val="24"/>
                <w:lang w:val="uk-UA"/>
              </w:rPr>
            </w:pPr>
            <w:r w:rsidRPr="00B57BC0">
              <w:rPr>
                <w:sz w:val="24"/>
                <w:lang w:val="uk-UA"/>
              </w:rPr>
              <w:t>5</w:t>
            </w:r>
          </w:p>
        </w:tc>
      </w:tr>
      <w:tr w:rsidR="000F291F" w:rsidRPr="00B57BC0" w:rsidTr="002D5AEC">
        <w:tc>
          <w:tcPr>
            <w:tcW w:w="534" w:type="dxa"/>
          </w:tcPr>
          <w:p w:rsidR="000F291F" w:rsidRPr="00B57BC0" w:rsidRDefault="000F291F" w:rsidP="002D5AEC">
            <w:pPr>
              <w:pStyle w:val="1"/>
              <w:numPr>
                <w:ilvl w:val="0"/>
                <w:numId w:val="1"/>
              </w:numPr>
              <w:ind w:left="0" w:firstLine="0"/>
              <w:jc w:val="center"/>
              <w:rPr>
                <w:sz w:val="24"/>
                <w:lang w:val="uk-UA"/>
              </w:rPr>
            </w:pPr>
          </w:p>
        </w:tc>
        <w:tc>
          <w:tcPr>
            <w:tcW w:w="7938" w:type="dxa"/>
          </w:tcPr>
          <w:p w:rsidR="000F291F" w:rsidRPr="00B57BC0" w:rsidRDefault="000F291F" w:rsidP="002D5AEC">
            <w:pPr>
              <w:pStyle w:val="1"/>
              <w:jc w:val="both"/>
              <w:rPr>
                <w:sz w:val="24"/>
                <w:lang w:val="uk-UA"/>
              </w:rPr>
            </w:pPr>
            <w:r w:rsidRPr="00B57BC0">
              <w:rPr>
                <w:b/>
                <w:sz w:val="24"/>
                <w:lang w:val="uk-UA"/>
              </w:rPr>
              <w:t>Актуальні питання діагностики та лікування інфекційних хвороб із повітряно-краплинним шляхом передачі.</w:t>
            </w:r>
            <w:r w:rsidRPr="00B57BC0">
              <w:rPr>
                <w:sz w:val="24"/>
                <w:lang w:val="uk-UA"/>
              </w:rPr>
              <w:t xml:space="preserve"> </w:t>
            </w:r>
          </w:p>
          <w:p w:rsidR="000F291F" w:rsidRPr="00B57BC0" w:rsidRDefault="000F291F" w:rsidP="002D5AEC">
            <w:pPr>
              <w:pStyle w:val="1"/>
              <w:jc w:val="both"/>
              <w:rPr>
                <w:sz w:val="24"/>
                <w:szCs w:val="24"/>
                <w:lang w:val="uk-UA"/>
              </w:rPr>
            </w:pPr>
            <w:r w:rsidRPr="00B57BC0">
              <w:rPr>
                <w:sz w:val="24"/>
                <w:szCs w:val="24"/>
                <w:lang w:val="uk-UA"/>
              </w:rPr>
              <w:t xml:space="preserve">Епідеміологічні, патогенетичні і клінічні особливості інфекційних хвороб із повітряно-краплинним шляхом передачі. </w:t>
            </w:r>
          </w:p>
          <w:p w:rsidR="000F291F" w:rsidRPr="00B57BC0" w:rsidRDefault="000F291F" w:rsidP="002D5AEC">
            <w:pPr>
              <w:pStyle w:val="1"/>
              <w:jc w:val="both"/>
              <w:rPr>
                <w:sz w:val="24"/>
                <w:lang w:val="uk-UA"/>
              </w:rPr>
            </w:pPr>
            <w:r w:rsidRPr="00B57BC0">
              <w:rPr>
                <w:sz w:val="24"/>
                <w:lang w:val="uk-UA"/>
              </w:rPr>
              <w:lastRenderedPageBreak/>
              <w:t xml:space="preserve">Диференціальна діагностика ГРВІ (грип, парагрип, риновірусна, аденовірусна, респіраторно-синцитіальна хвороба). Особливості перебігу сезонного і пандемічного грипу у вагітних і на тлі супутньої патології (цукровий діабет, ожиріння). </w:t>
            </w:r>
          </w:p>
          <w:p w:rsidR="000F291F" w:rsidRPr="00B57BC0" w:rsidRDefault="000F291F" w:rsidP="002D5AEC">
            <w:pPr>
              <w:pStyle w:val="1"/>
              <w:jc w:val="both"/>
              <w:rPr>
                <w:sz w:val="24"/>
                <w:lang w:val="uk-UA"/>
              </w:rPr>
            </w:pPr>
            <w:r w:rsidRPr="00B57BC0">
              <w:rPr>
                <w:sz w:val="24"/>
                <w:lang w:val="uk-UA"/>
              </w:rPr>
              <w:t>Клініка, діагностика, особливості перебігу і ускладнення дифтерії.</w:t>
            </w:r>
            <w:r w:rsidRPr="00B57BC0">
              <w:rPr>
                <w:snapToGrid/>
                <w:sz w:val="24"/>
                <w:lang w:val="uk-UA"/>
              </w:rPr>
              <w:t xml:space="preserve"> Диференціальна діагностика уражень рото- та носоглотки, слинних залоз (дифтерія, стрептококовий фарингіт/ангіна, фузоспірохетозний симбіоз, епідемічний паротит). </w:t>
            </w:r>
            <w:r w:rsidRPr="00B57BC0">
              <w:rPr>
                <w:sz w:val="24"/>
                <w:lang w:val="uk-UA"/>
              </w:rPr>
              <w:t xml:space="preserve">Диференціальна діагностика тонзилітів різної етіології. </w:t>
            </w:r>
          </w:p>
          <w:p w:rsidR="000F291F" w:rsidRPr="00B57BC0" w:rsidRDefault="000F291F" w:rsidP="002D5AEC">
            <w:pPr>
              <w:pStyle w:val="1"/>
              <w:jc w:val="both"/>
              <w:rPr>
                <w:sz w:val="24"/>
                <w:lang w:val="uk-UA"/>
              </w:rPr>
            </w:pPr>
            <w:r w:rsidRPr="00B57BC0">
              <w:rPr>
                <w:sz w:val="24"/>
                <w:lang w:val="uk-UA"/>
              </w:rPr>
              <w:t xml:space="preserve">Лікування та профілактика інфекційних хвороб із повітряно-краплинним шляхом передачі. </w:t>
            </w:r>
          </w:p>
          <w:p w:rsidR="000F291F" w:rsidRPr="00B57BC0" w:rsidRDefault="000F291F" w:rsidP="002D5AEC">
            <w:pPr>
              <w:pStyle w:val="1"/>
              <w:jc w:val="both"/>
              <w:rPr>
                <w:sz w:val="24"/>
                <w:lang w:val="uk-UA"/>
              </w:rPr>
            </w:pPr>
            <w:r w:rsidRPr="00B57BC0">
              <w:rPr>
                <w:sz w:val="24"/>
                <w:lang w:val="uk-UA"/>
              </w:rPr>
              <w:t>Імунопрофілактика сезонного і пандемічного грипу, дифтерії.</w:t>
            </w:r>
          </w:p>
          <w:p w:rsidR="000F291F" w:rsidRPr="00B57BC0" w:rsidRDefault="000F291F" w:rsidP="002D5AEC">
            <w:pPr>
              <w:pStyle w:val="1"/>
              <w:jc w:val="both"/>
              <w:rPr>
                <w:sz w:val="24"/>
                <w:lang w:val="uk-UA"/>
              </w:rPr>
            </w:pPr>
            <w:r w:rsidRPr="00B57BC0">
              <w:rPr>
                <w:sz w:val="24"/>
                <w:lang w:val="uk-UA"/>
              </w:rPr>
              <w:t>Клінічні особливості дитячих інфекційних хвороб у дорослих.</w:t>
            </w:r>
          </w:p>
        </w:tc>
        <w:tc>
          <w:tcPr>
            <w:tcW w:w="850" w:type="dxa"/>
          </w:tcPr>
          <w:p w:rsidR="000F291F" w:rsidRPr="00B57BC0" w:rsidRDefault="000F291F" w:rsidP="002D5AEC">
            <w:pPr>
              <w:pStyle w:val="1"/>
              <w:jc w:val="center"/>
              <w:rPr>
                <w:sz w:val="24"/>
                <w:lang w:val="uk-UA"/>
              </w:rPr>
            </w:pPr>
            <w:r w:rsidRPr="00B57BC0">
              <w:rPr>
                <w:sz w:val="24"/>
                <w:lang w:val="uk-UA"/>
              </w:rPr>
              <w:lastRenderedPageBreak/>
              <w:t>5</w:t>
            </w:r>
          </w:p>
        </w:tc>
        <w:tc>
          <w:tcPr>
            <w:tcW w:w="992" w:type="dxa"/>
          </w:tcPr>
          <w:p w:rsidR="000F291F" w:rsidRPr="00B57BC0" w:rsidRDefault="000F291F" w:rsidP="002D5AEC">
            <w:pPr>
              <w:pStyle w:val="1"/>
              <w:jc w:val="center"/>
              <w:rPr>
                <w:sz w:val="24"/>
                <w:lang w:val="uk-UA"/>
              </w:rPr>
            </w:pPr>
            <w:r w:rsidRPr="00B57BC0">
              <w:rPr>
                <w:sz w:val="24"/>
                <w:lang w:val="uk-UA"/>
              </w:rPr>
              <w:t>5</w:t>
            </w:r>
          </w:p>
        </w:tc>
      </w:tr>
      <w:tr w:rsidR="000F291F" w:rsidRPr="00B57BC0" w:rsidTr="002D5AEC">
        <w:tc>
          <w:tcPr>
            <w:tcW w:w="534" w:type="dxa"/>
          </w:tcPr>
          <w:p w:rsidR="000F291F" w:rsidRPr="00B57BC0" w:rsidRDefault="000F291F" w:rsidP="002D5AEC">
            <w:pPr>
              <w:pStyle w:val="1"/>
              <w:numPr>
                <w:ilvl w:val="0"/>
                <w:numId w:val="1"/>
              </w:numPr>
              <w:ind w:left="0" w:firstLine="0"/>
              <w:jc w:val="center"/>
              <w:rPr>
                <w:sz w:val="24"/>
                <w:lang w:val="uk-UA"/>
              </w:rPr>
            </w:pPr>
          </w:p>
        </w:tc>
        <w:tc>
          <w:tcPr>
            <w:tcW w:w="7938" w:type="dxa"/>
          </w:tcPr>
          <w:p w:rsidR="000F291F" w:rsidRPr="00B57BC0" w:rsidRDefault="000F291F" w:rsidP="002D5AEC">
            <w:pPr>
              <w:pStyle w:val="1"/>
              <w:jc w:val="both"/>
              <w:rPr>
                <w:snapToGrid/>
                <w:sz w:val="24"/>
                <w:lang w:val="uk-UA"/>
              </w:rPr>
            </w:pPr>
            <w:r w:rsidRPr="00B57BC0">
              <w:rPr>
                <w:b/>
                <w:sz w:val="24"/>
                <w:lang w:val="uk-UA"/>
              </w:rPr>
              <w:t>Актуальні питання діагностики та лікування нейроінфекцій.</w:t>
            </w:r>
          </w:p>
          <w:p w:rsidR="000F291F" w:rsidRPr="00B57BC0" w:rsidRDefault="000F291F" w:rsidP="002D5AEC">
            <w:pPr>
              <w:pStyle w:val="1"/>
              <w:jc w:val="both"/>
              <w:rPr>
                <w:sz w:val="24"/>
                <w:lang w:val="uk-UA"/>
              </w:rPr>
            </w:pPr>
            <w:r w:rsidRPr="00B57BC0">
              <w:rPr>
                <w:sz w:val="24"/>
                <w:lang w:val="uk-UA"/>
              </w:rPr>
              <w:t xml:space="preserve">Менінгеальний синдром у клініці інфекційних хвороб. Диференціальна діагностика серозних і гнійних менінгітів. Актуальні питання клінічної та специфічної лабораторної діагностики нейроінфекції, оцінка інформативності методів. Диференціальна діагностика менінгітів (первинні, вторинні, вірусні, бактеріальні) та енцефалітів різної етіології. Лікворологічна діагностика менінгітів. Особливості клінічного перебігу нейроінфекцій на тлі імунодефіцитних станів. </w:t>
            </w:r>
          </w:p>
          <w:p w:rsidR="000F291F" w:rsidRPr="00B57BC0" w:rsidRDefault="000F291F" w:rsidP="002D5AEC">
            <w:pPr>
              <w:pStyle w:val="1"/>
              <w:jc w:val="both"/>
              <w:rPr>
                <w:sz w:val="24"/>
                <w:lang w:val="uk-UA"/>
              </w:rPr>
            </w:pPr>
            <w:r w:rsidRPr="00B57BC0">
              <w:rPr>
                <w:sz w:val="24"/>
                <w:lang w:val="uk-UA"/>
              </w:rPr>
              <w:t>Поліомієліт: клінічні форми, залишкові явища, діагностика, лікування, профілактика.</w:t>
            </w:r>
          </w:p>
        </w:tc>
        <w:tc>
          <w:tcPr>
            <w:tcW w:w="850" w:type="dxa"/>
          </w:tcPr>
          <w:p w:rsidR="000F291F" w:rsidRPr="00B57BC0" w:rsidRDefault="000F291F" w:rsidP="002D5AEC">
            <w:pPr>
              <w:pStyle w:val="1"/>
              <w:jc w:val="center"/>
              <w:rPr>
                <w:sz w:val="24"/>
                <w:lang w:val="uk-UA"/>
              </w:rPr>
            </w:pPr>
            <w:r w:rsidRPr="00B57BC0">
              <w:rPr>
                <w:sz w:val="24"/>
                <w:lang w:val="uk-UA"/>
              </w:rPr>
              <w:t>5</w:t>
            </w:r>
          </w:p>
        </w:tc>
        <w:tc>
          <w:tcPr>
            <w:tcW w:w="992" w:type="dxa"/>
          </w:tcPr>
          <w:p w:rsidR="000F291F" w:rsidRPr="00B57BC0" w:rsidRDefault="000F291F" w:rsidP="002D5AEC">
            <w:pPr>
              <w:pStyle w:val="1"/>
              <w:jc w:val="center"/>
              <w:rPr>
                <w:sz w:val="24"/>
                <w:lang w:val="uk-UA"/>
              </w:rPr>
            </w:pPr>
            <w:r w:rsidRPr="00B57BC0">
              <w:rPr>
                <w:sz w:val="24"/>
                <w:lang w:val="uk-UA"/>
              </w:rPr>
              <w:t>5</w:t>
            </w:r>
          </w:p>
        </w:tc>
      </w:tr>
      <w:tr w:rsidR="000F291F" w:rsidRPr="00B57BC0" w:rsidTr="002D5AEC">
        <w:tc>
          <w:tcPr>
            <w:tcW w:w="534" w:type="dxa"/>
          </w:tcPr>
          <w:p w:rsidR="000F291F" w:rsidRPr="00B57BC0" w:rsidRDefault="000F291F" w:rsidP="002D5AEC">
            <w:pPr>
              <w:pStyle w:val="1"/>
              <w:numPr>
                <w:ilvl w:val="0"/>
                <w:numId w:val="1"/>
              </w:numPr>
              <w:ind w:left="0" w:firstLine="0"/>
              <w:jc w:val="center"/>
              <w:rPr>
                <w:sz w:val="24"/>
                <w:lang w:val="uk-UA"/>
              </w:rPr>
            </w:pPr>
          </w:p>
        </w:tc>
        <w:tc>
          <w:tcPr>
            <w:tcW w:w="7938" w:type="dxa"/>
          </w:tcPr>
          <w:p w:rsidR="000F291F" w:rsidRPr="00B57BC0" w:rsidRDefault="000F291F" w:rsidP="002D5AEC">
            <w:pPr>
              <w:pStyle w:val="1"/>
              <w:jc w:val="both"/>
              <w:rPr>
                <w:b/>
                <w:sz w:val="24"/>
                <w:lang w:val="uk-UA"/>
              </w:rPr>
            </w:pPr>
            <w:r w:rsidRPr="00B57BC0">
              <w:rPr>
                <w:b/>
                <w:sz w:val="24"/>
                <w:lang w:val="uk-UA"/>
              </w:rPr>
              <w:t>Актуальні питання діагностики та лікування інфекційних хвороб із переважанням трансмісивного шляху передачі.</w:t>
            </w:r>
          </w:p>
          <w:p w:rsidR="000F291F" w:rsidRPr="00B57BC0" w:rsidRDefault="000F291F" w:rsidP="002D5AEC">
            <w:pPr>
              <w:widowControl w:val="0"/>
              <w:spacing w:line="240" w:lineRule="auto"/>
              <w:ind w:firstLine="0"/>
              <w:rPr>
                <w:snapToGrid w:val="0"/>
                <w:sz w:val="24"/>
              </w:rPr>
            </w:pPr>
            <w:r w:rsidRPr="00B57BC0">
              <w:rPr>
                <w:snapToGrid w:val="0"/>
                <w:sz w:val="24"/>
              </w:rPr>
              <w:t xml:space="preserve">Загальна характеристика інфекційних хвороб із трансмісивним механізмом передачі. Диференціальна діагностика, специфічна лабораторна діагностика малярії, лейшманіозу. </w:t>
            </w:r>
          </w:p>
          <w:p w:rsidR="000F291F" w:rsidRPr="00B57BC0" w:rsidRDefault="000F291F" w:rsidP="002D5AEC">
            <w:pPr>
              <w:widowControl w:val="0"/>
              <w:spacing w:line="240" w:lineRule="auto"/>
              <w:ind w:firstLine="0"/>
              <w:rPr>
                <w:snapToGrid w:val="0"/>
                <w:sz w:val="24"/>
              </w:rPr>
            </w:pPr>
            <w:r w:rsidRPr="00B57BC0">
              <w:rPr>
                <w:snapToGrid w:val="0"/>
                <w:sz w:val="24"/>
              </w:rPr>
              <w:t>Трансмісивні хвороби, що передаються через укуси кліщів: кліщовий енцефаліт, Лайм-бореліоз. Рикетсіози (епідемічний висипний тиф та хвороба Брілла. Ку-гарячка. Марсельська гарячка).</w:t>
            </w:r>
          </w:p>
          <w:p w:rsidR="000F291F" w:rsidRPr="00B57BC0" w:rsidRDefault="000F291F" w:rsidP="002D5AEC">
            <w:pPr>
              <w:pStyle w:val="1"/>
              <w:jc w:val="both"/>
              <w:rPr>
                <w:sz w:val="24"/>
                <w:lang w:val="uk-UA"/>
              </w:rPr>
            </w:pPr>
            <w:r w:rsidRPr="00B57BC0">
              <w:rPr>
                <w:sz w:val="24"/>
                <w:lang w:val="uk-UA"/>
              </w:rPr>
              <w:t xml:space="preserve">Геморагічні гарячки (омська, кримська ГГНС). Гарячки Ебола, Ласса. Жовта гарячка. </w:t>
            </w:r>
          </w:p>
          <w:p w:rsidR="000F291F" w:rsidRPr="00B57BC0" w:rsidRDefault="000F291F" w:rsidP="002D5AEC">
            <w:pPr>
              <w:pStyle w:val="1"/>
              <w:jc w:val="both"/>
              <w:rPr>
                <w:sz w:val="24"/>
                <w:lang w:val="uk-UA"/>
              </w:rPr>
            </w:pPr>
            <w:r w:rsidRPr="00B57BC0">
              <w:rPr>
                <w:sz w:val="24"/>
                <w:lang w:val="uk-UA"/>
              </w:rPr>
              <w:t>Клінічні особливості, диференціальна діагностика чуми. Інфекційні хвороби, що їх регулюють міжнародні медико-санітарні правила 2005 року.</w:t>
            </w:r>
          </w:p>
          <w:p w:rsidR="000F291F" w:rsidRPr="00B57BC0" w:rsidRDefault="000F291F" w:rsidP="002D5AEC">
            <w:pPr>
              <w:pStyle w:val="1"/>
              <w:jc w:val="both"/>
              <w:rPr>
                <w:b/>
                <w:sz w:val="24"/>
                <w:lang w:val="uk-UA"/>
              </w:rPr>
            </w:pPr>
            <w:r w:rsidRPr="00B57BC0">
              <w:rPr>
                <w:sz w:val="24"/>
                <w:lang w:val="uk-UA"/>
              </w:rPr>
              <w:t>Лікування та профілактика інфекційних хвороб з трансмісивним шляхом передачі.</w:t>
            </w:r>
          </w:p>
        </w:tc>
        <w:tc>
          <w:tcPr>
            <w:tcW w:w="850" w:type="dxa"/>
          </w:tcPr>
          <w:p w:rsidR="000F291F" w:rsidRPr="00B57BC0" w:rsidRDefault="000F291F" w:rsidP="002D5AEC">
            <w:pPr>
              <w:pStyle w:val="1"/>
              <w:jc w:val="center"/>
              <w:rPr>
                <w:sz w:val="24"/>
                <w:lang w:val="uk-UA"/>
              </w:rPr>
            </w:pPr>
            <w:r w:rsidRPr="00B57BC0">
              <w:rPr>
                <w:sz w:val="24"/>
                <w:lang w:val="uk-UA"/>
              </w:rPr>
              <w:t>5</w:t>
            </w:r>
          </w:p>
        </w:tc>
        <w:tc>
          <w:tcPr>
            <w:tcW w:w="992" w:type="dxa"/>
          </w:tcPr>
          <w:p w:rsidR="000F291F" w:rsidRPr="00B57BC0" w:rsidRDefault="000F291F" w:rsidP="002D5AEC">
            <w:pPr>
              <w:pStyle w:val="1"/>
              <w:jc w:val="center"/>
              <w:rPr>
                <w:sz w:val="24"/>
                <w:lang w:val="uk-UA"/>
              </w:rPr>
            </w:pPr>
            <w:r w:rsidRPr="00B57BC0">
              <w:rPr>
                <w:sz w:val="24"/>
                <w:lang w:val="uk-UA"/>
              </w:rPr>
              <w:t>5</w:t>
            </w:r>
          </w:p>
        </w:tc>
      </w:tr>
      <w:tr w:rsidR="000F291F" w:rsidRPr="00B57BC0" w:rsidTr="002D5AEC">
        <w:tc>
          <w:tcPr>
            <w:tcW w:w="534" w:type="dxa"/>
          </w:tcPr>
          <w:p w:rsidR="000F291F" w:rsidRPr="00B57BC0" w:rsidRDefault="000F291F" w:rsidP="002D5AEC">
            <w:pPr>
              <w:pStyle w:val="1"/>
              <w:numPr>
                <w:ilvl w:val="0"/>
                <w:numId w:val="1"/>
              </w:numPr>
              <w:ind w:left="0" w:firstLine="0"/>
              <w:jc w:val="center"/>
              <w:rPr>
                <w:sz w:val="24"/>
                <w:lang w:val="uk-UA"/>
              </w:rPr>
            </w:pPr>
          </w:p>
        </w:tc>
        <w:tc>
          <w:tcPr>
            <w:tcW w:w="7938" w:type="dxa"/>
          </w:tcPr>
          <w:p w:rsidR="000F291F" w:rsidRPr="00B57BC0" w:rsidRDefault="000F291F" w:rsidP="002D5AEC">
            <w:pPr>
              <w:pStyle w:val="1"/>
              <w:jc w:val="both"/>
              <w:rPr>
                <w:b/>
                <w:sz w:val="24"/>
                <w:lang w:val="uk-UA"/>
              </w:rPr>
            </w:pPr>
            <w:r w:rsidRPr="00B57BC0">
              <w:rPr>
                <w:b/>
                <w:sz w:val="24"/>
                <w:lang w:val="uk-UA"/>
              </w:rPr>
              <w:t>Актуальні питання діагностики та лікування інфекційних хвороб із переважанням ранового шляху передачі</w:t>
            </w:r>
          </w:p>
          <w:p w:rsidR="000F291F" w:rsidRPr="00B57BC0" w:rsidRDefault="000F291F" w:rsidP="002D5AEC">
            <w:pPr>
              <w:pStyle w:val="1"/>
              <w:jc w:val="both"/>
              <w:rPr>
                <w:sz w:val="24"/>
                <w:lang w:val="uk-UA"/>
              </w:rPr>
            </w:pPr>
            <w:r w:rsidRPr="00B57BC0">
              <w:rPr>
                <w:sz w:val="24"/>
                <w:lang w:val="uk-UA"/>
              </w:rPr>
              <w:t xml:space="preserve">Вірусні гепатити В, С і D. Раннє виявлення вірусних гепатитів, роль та використання методів діагностики, оцінка їх інформативності. Диференціальна діагностика гострих вірусних гепатитів з іншими хворобами печінки (медикаментозні, токсичні гепатити, алкогольна хвороба печінки, неалкогольний стеатогепатит, холестатичні жовтяниці, надпечінкові жовтяниці, гепатоз вагітних). Диференціальна діагностика інфекційних хвороб, що супроводжуються жовтяницею (лептоспіроз, тропічна малярія, сепсис, єрсиніоз, інфекційний мононуклеоз, паразитарні ураження печінки). </w:t>
            </w:r>
          </w:p>
          <w:p w:rsidR="000F291F" w:rsidRPr="00B57BC0" w:rsidRDefault="000F291F" w:rsidP="002D5AEC">
            <w:pPr>
              <w:pStyle w:val="1"/>
              <w:jc w:val="both"/>
              <w:rPr>
                <w:sz w:val="24"/>
                <w:lang w:val="uk-UA"/>
              </w:rPr>
            </w:pPr>
            <w:r w:rsidRPr="00B57BC0">
              <w:rPr>
                <w:sz w:val="24"/>
                <w:lang w:val="uk-UA"/>
              </w:rPr>
              <w:t>Соціальні аспекти поширення хронічних вірусних гепатитів. Диференціальна діагностика, специфічна діагностика хронічних вірусних гепатитів. Показання та протипоказання, алгоритм противірусної терапії. Побічна дія специфічного лікування. Профілактика вірусних гепатитів (загальна і специфічна).</w:t>
            </w:r>
          </w:p>
          <w:p w:rsidR="000F291F" w:rsidRPr="00B57BC0" w:rsidRDefault="000F291F" w:rsidP="002D5AEC">
            <w:pPr>
              <w:pStyle w:val="1"/>
              <w:jc w:val="both"/>
              <w:rPr>
                <w:sz w:val="24"/>
                <w:lang w:val="uk-UA"/>
              </w:rPr>
            </w:pPr>
            <w:r w:rsidRPr="00B57BC0">
              <w:rPr>
                <w:sz w:val="24"/>
                <w:lang w:val="uk-UA"/>
              </w:rPr>
              <w:lastRenderedPageBreak/>
              <w:t xml:space="preserve">ВІЛ-інфекція. Соціальні наслідки поширення ВІЛ-інфекції. Особливості діагностики та клініки. Класифікація клінічних стадій, критерії діагностики. Клінічна та специфічна діагностика ВІЛ-інфекції. Деонтологічні аспекти ВІЛ-інфекції,  просвітницька робота. </w:t>
            </w:r>
          </w:p>
          <w:p w:rsidR="000F291F" w:rsidRPr="00B57BC0" w:rsidRDefault="000F291F" w:rsidP="002D5AEC">
            <w:pPr>
              <w:pStyle w:val="1"/>
              <w:jc w:val="both"/>
              <w:rPr>
                <w:sz w:val="24"/>
                <w:lang w:val="uk-UA"/>
              </w:rPr>
            </w:pPr>
            <w:r w:rsidRPr="00B57BC0">
              <w:rPr>
                <w:sz w:val="24"/>
                <w:lang w:val="uk-UA"/>
              </w:rPr>
              <w:t xml:space="preserve">Принципи та підходи до лікування хворих на ВІЛ-інфекцію. Загальна характеристика груп лікарських засобів, що застосовуються в лікуванні ВІЛ-інфекції. Провідні ВІЛ-індикаторні інфекції, в тому числі мікобактеріальні, основні особливості їх лікування. </w:t>
            </w:r>
          </w:p>
          <w:p w:rsidR="000F291F" w:rsidRPr="00B57BC0" w:rsidRDefault="000F291F" w:rsidP="002D5AEC">
            <w:pPr>
              <w:pStyle w:val="1"/>
              <w:jc w:val="both"/>
              <w:rPr>
                <w:sz w:val="24"/>
                <w:lang w:val="uk-UA"/>
              </w:rPr>
            </w:pPr>
            <w:r w:rsidRPr="00B57BC0">
              <w:rPr>
                <w:sz w:val="24"/>
                <w:lang w:val="uk-UA"/>
              </w:rPr>
              <w:t>Профілактика ВІЛ-інфікування, попередження передачі від матері до дитини, соціально-психологічна підтримка людей, що живуть з ВІЛ. Універсальні заходи безпеки та організація праці лікаря з метою запобігання інфікування ВІЛ-інфекцією медичних працівників. Екстрені заходи у разі контамінації заразним матеріалом на робочому місці.</w:t>
            </w:r>
          </w:p>
          <w:p w:rsidR="000F291F" w:rsidRPr="00B57BC0" w:rsidRDefault="000F291F" w:rsidP="002D5AEC">
            <w:pPr>
              <w:pStyle w:val="1"/>
              <w:jc w:val="both"/>
              <w:rPr>
                <w:sz w:val="24"/>
                <w:lang w:val="uk-UA"/>
              </w:rPr>
            </w:pPr>
            <w:r w:rsidRPr="00B57BC0">
              <w:rPr>
                <w:sz w:val="24"/>
                <w:lang w:val="uk-UA"/>
              </w:rPr>
              <w:t>Бешиха (діагностика, клінічні форми, лікування та профілактика).</w:t>
            </w:r>
            <w:r w:rsidRPr="00B57BC0">
              <w:rPr>
                <w:b/>
                <w:sz w:val="24"/>
                <w:lang w:val="uk-UA"/>
              </w:rPr>
              <w:t xml:space="preserve"> </w:t>
            </w:r>
            <w:r w:rsidRPr="00B57BC0">
              <w:rPr>
                <w:sz w:val="24"/>
                <w:lang w:val="uk-UA"/>
              </w:rPr>
              <w:t xml:space="preserve">Сказ, правець (діагностика, диференціальна діагностика, екстрена профілактика, лікування. Імунопрофілактика). </w:t>
            </w:r>
          </w:p>
        </w:tc>
        <w:tc>
          <w:tcPr>
            <w:tcW w:w="850" w:type="dxa"/>
          </w:tcPr>
          <w:p w:rsidR="000F291F" w:rsidRPr="00B57BC0" w:rsidRDefault="000F291F" w:rsidP="002D5AEC">
            <w:pPr>
              <w:pStyle w:val="1"/>
              <w:jc w:val="center"/>
              <w:rPr>
                <w:sz w:val="24"/>
                <w:lang w:val="uk-UA"/>
              </w:rPr>
            </w:pPr>
            <w:r w:rsidRPr="00B57BC0">
              <w:rPr>
                <w:sz w:val="24"/>
                <w:lang w:val="uk-UA"/>
              </w:rPr>
              <w:lastRenderedPageBreak/>
              <w:t>5</w:t>
            </w:r>
          </w:p>
        </w:tc>
        <w:tc>
          <w:tcPr>
            <w:tcW w:w="992" w:type="dxa"/>
          </w:tcPr>
          <w:p w:rsidR="000F291F" w:rsidRPr="00B57BC0" w:rsidRDefault="000F291F" w:rsidP="002D5AEC">
            <w:pPr>
              <w:pStyle w:val="1"/>
              <w:jc w:val="center"/>
              <w:rPr>
                <w:sz w:val="24"/>
                <w:lang w:val="uk-UA"/>
              </w:rPr>
            </w:pPr>
            <w:r w:rsidRPr="00B57BC0">
              <w:rPr>
                <w:sz w:val="24"/>
                <w:lang w:val="uk-UA"/>
              </w:rPr>
              <w:t>5</w:t>
            </w:r>
          </w:p>
        </w:tc>
      </w:tr>
      <w:tr w:rsidR="000F291F" w:rsidRPr="00B57BC0" w:rsidTr="002D5AEC">
        <w:tc>
          <w:tcPr>
            <w:tcW w:w="534" w:type="dxa"/>
          </w:tcPr>
          <w:p w:rsidR="000F291F" w:rsidRPr="00B57BC0" w:rsidRDefault="000F291F" w:rsidP="002D5AEC">
            <w:pPr>
              <w:pStyle w:val="1"/>
              <w:numPr>
                <w:ilvl w:val="0"/>
                <w:numId w:val="1"/>
              </w:numPr>
              <w:ind w:left="0" w:firstLine="0"/>
              <w:jc w:val="center"/>
              <w:rPr>
                <w:sz w:val="24"/>
                <w:lang w:val="uk-UA"/>
              </w:rPr>
            </w:pPr>
          </w:p>
        </w:tc>
        <w:tc>
          <w:tcPr>
            <w:tcW w:w="7938" w:type="dxa"/>
          </w:tcPr>
          <w:p w:rsidR="000F291F" w:rsidRPr="00B57BC0" w:rsidRDefault="000F291F" w:rsidP="002D5AEC">
            <w:pPr>
              <w:pStyle w:val="1"/>
              <w:jc w:val="both"/>
              <w:rPr>
                <w:b/>
                <w:bCs/>
                <w:sz w:val="24"/>
                <w:szCs w:val="24"/>
                <w:lang w:val="uk-UA"/>
              </w:rPr>
            </w:pPr>
            <w:r w:rsidRPr="00B57BC0">
              <w:rPr>
                <w:b/>
                <w:sz w:val="24"/>
                <w:lang w:val="uk-UA"/>
              </w:rPr>
              <w:t>Невідкладна допомога</w:t>
            </w:r>
            <w:r w:rsidRPr="00B57BC0">
              <w:rPr>
                <w:b/>
                <w:bCs/>
                <w:sz w:val="24"/>
                <w:szCs w:val="24"/>
                <w:lang w:val="uk-UA"/>
              </w:rPr>
              <w:t xml:space="preserve"> хворим на інфекційні хвороби. </w:t>
            </w:r>
          </w:p>
          <w:p w:rsidR="000F291F" w:rsidRPr="00B57BC0" w:rsidRDefault="000F291F" w:rsidP="002D5AEC">
            <w:pPr>
              <w:pStyle w:val="1"/>
              <w:jc w:val="both"/>
              <w:rPr>
                <w:sz w:val="24"/>
                <w:lang w:val="uk-UA"/>
              </w:rPr>
            </w:pPr>
            <w:r w:rsidRPr="00B57BC0">
              <w:rPr>
                <w:sz w:val="24"/>
                <w:lang w:val="uk-UA"/>
              </w:rPr>
              <w:t>Організація та проведення невідкладної допомоги та інтенсивної терапії Основні клініко-патогенетичні синдроми та методи інтенсивної терапії. Алгоритми надання невідкладної допомоги. Гіпертермічний, судомний синдроми. Інфекційно-токсичний шок. Тромбогеморагічний синдром. Гостра недостатність надниркових залоз. Гіповолемічний шок. Кишкова кровотеча. Набряк набухання головного мозку. Диференційна діагностика коматозних станів. Дихальна, серцево-судинна недостатність, набряк легенів. Печінкова недостатність. Особливості діагностики та лікування фульмінантних форм вірусних гепатитів. Гепаторенальний синдром. Ниркова недостатність. Анафілактичний шок, ускладнення серотерапії (сироваткова хвороба).</w:t>
            </w:r>
          </w:p>
        </w:tc>
        <w:tc>
          <w:tcPr>
            <w:tcW w:w="850" w:type="dxa"/>
          </w:tcPr>
          <w:p w:rsidR="000F291F" w:rsidRPr="00B57BC0" w:rsidRDefault="000F291F" w:rsidP="002D5AEC">
            <w:pPr>
              <w:pStyle w:val="1"/>
              <w:jc w:val="center"/>
              <w:rPr>
                <w:sz w:val="24"/>
                <w:lang w:val="uk-UA"/>
              </w:rPr>
            </w:pPr>
            <w:r w:rsidRPr="00B57BC0">
              <w:rPr>
                <w:sz w:val="24"/>
                <w:lang w:val="uk-UA"/>
              </w:rPr>
              <w:t>5</w:t>
            </w:r>
          </w:p>
        </w:tc>
        <w:tc>
          <w:tcPr>
            <w:tcW w:w="992" w:type="dxa"/>
          </w:tcPr>
          <w:p w:rsidR="000F291F" w:rsidRPr="00B57BC0" w:rsidRDefault="000F291F" w:rsidP="002D5AEC">
            <w:pPr>
              <w:pStyle w:val="1"/>
              <w:jc w:val="center"/>
              <w:rPr>
                <w:sz w:val="24"/>
                <w:lang w:val="uk-UA"/>
              </w:rPr>
            </w:pPr>
            <w:r w:rsidRPr="00B57BC0">
              <w:rPr>
                <w:sz w:val="24"/>
                <w:lang w:val="uk-UA"/>
              </w:rPr>
              <w:t>5</w:t>
            </w:r>
          </w:p>
        </w:tc>
      </w:tr>
      <w:tr w:rsidR="000F291F" w:rsidRPr="00B57BC0" w:rsidTr="002D5AEC">
        <w:tc>
          <w:tcPr>
            <w:tcW w:w="534" w:type="dxa"/>
          </w:tcPr>
          <w:p w:rsidR="000F291F" w:rsidRPr="00B57BC0" w:rsidRDefault="000F291F" w:rsidP="002D5AEC">
            <w:pPr>
              <w:pStyle w:val="1"/>
              <w:rPr>
                <w:sz w:val="24"/>
                <w:lang w:val="uk-UA"/>
              </w:rPr>
            </w:pPr>
          </w:p>
        </w:tc>
        <w:tc>
          <w:tcPr>
            <w:tcW w:w="7938" w:type="dxa"/>
          </w:tcPr>
          <w:p w:rsidR="000F291F" w:rsidRPr="00B57BC0" w:rsidRDefault="000F291F" w:rsidP="002D5AEC">
            <w:pPr>
              <w:pStyle w:val="1"/>
              <w:jc w:val="both"/>
              <w:rPr>
                <w:b/>
                <w:sz w:val="24"/>
                <w:lang w:val="uk-UA"/>
              </w:rPr>
            </w:pPr>
            <w:r w:rsidRPr="00B57BC0">
              <w:rPr>
                <w:b/>
                <w:sz w:val="24"/>
                <w:lang w:val="uk-UA"/>
              </w:rPr>
              <w:t>Всього</w:t>
            </w:r>
          </w:p>
        </w:tc>
        <w:tc>
          <w:tcPr>
            <w:tcW w:w="850" w:type="dxa"/>
          </w:tcPr>
          <w:p w:rsidR="000F291F" w:rsidRPr="00B57BC0" w:rsidRDefault="000F291F" w:rsidP="002D5AEC">
            <w:pPr>
              <w:pStyle w:val="1"/>
              <w:jc w:val="center"/>
              <w:rPr>
                <w:sz w:val="24"/>
                <w:lang w:val="uk-UA"/>
              </w:rPr>
            </w:pPr>
            <w:r w:rsidRPr="00B57BC0">
              <w:rPr>
                <w:sz w:val="24"/>
                <w:lang w:val="uk-UA"/>
              </w:rPr>
              <w:fldChar w:fldCharType="begin"/>
            </w:r>
            <w:r w:rsidRPr="00B57BC0">
              <w:rPr>
                <w:sz w:val="24"/>
                <w:lang w:val="uk-UA"/>
              </w:rPr>
              <w:instrText xml:space="preserve"> =SUM(ABOVE) </w:instrText>
            </w:r>
            <w:r w:rsidRPr="00B57BC0">
              <w:rPr>
                <w:sz w:val="24"/>
                <w:lang w:val="uk-UA"/>
              </w:rPr>
              <w:fldChar w:fldCharType="separate"/>
            </w:r>
            <w:r w:rsidRPr="00B57BC0">
              <w:rPr>
                <w:noProof/>
                <w:sz w:val="24"/>
                <w:lang w:val="uk-UA"/>
              </w:rPr>
              <w:t>30</w:t>
            </w:r>
            <w:r w:rsidRPr="00B57BC0">
              <w:rPr>
                <w:sz w:val="24"/>
                <w:lang w:val="uk-UA"/>
              </w:rPr>
              <w:fldChar w:fldCharType="end"/>
            </w:r>
          </w:p>
        </w:tc>
        <w:tc>
          <w:tcPr>
            <w:tcW w:w="992" w:type="dxa"/>
          </w:tcPr>
          <w:p w:rsidR="000F291F" w:rsidRPr="00B57BC0" w:rsidRDefault="000F291F" w:rsidP="002D5AEC">
            <w:pPr>
              <w:pStyle w:val="1"/>
              <w:jc w:val="center"/>
              <w:rPr>
                <w:sz w:val="24"/>
                <w:lang w:val="uk-UA"/>
              </w:rPr>
            </w:pPr>
            <w:r w:rsidRPr="00B57BC0">
              <w:rPr>
                <w:sz w:val="24"/>
                <w:lang w:val="uk-UA"/>
              </w:rPr>
              <w:fldChar w:fldCharType="begin"/>
            </w:r>
            <w:r w:rsidRPr="00B57BC0">
              <w:rPr>
                <w:sz w:val="24"/>
                <w:lang w:val="uk-UA"/>
              </w:rPr>
              <w:instrText xml:space="preserve"> =SUM(ABOVE) </w:instrText>
            </w:r>
            <w:r w:rsidRPr="00B57BC0">
              <w:rPr>
                <w:sz w:val="24"/>
                <w:lang w:val="uk-UA"/>
              </w:rPr>
              <w:fldChar w:fldCharType="separate"/>
            </w:r>
            <w:r w:rsidRPr="00B57BC0">
              <w:rPr>
                <w:noProof/>
                <w:sz w:val="24"/>
                <w:lang w:val="uk-UA"/>
              </w:rPr>
              <w:t>30</w:t>
            </w:r>
            <w:r w:rsidRPr="00B57BC0">
              <w:rPr>
                <w:sz w:val="24"/>
                <w:lang w:val="uk-UA"/>
              </w:rPr>
              <w:fldChar w:fldCharType="end"/>
            </w:r>
          </w:p>
        </w:tc>
      </w:tr>
    </w:tbl>
    <w:p w:rsidR="000F291F" w:rsidRPr="00B57BC0" w:rsidRDefault="000F291F" w:rsidP="000F291F">
      <w:pPr>
        <w:pStyle w:val="1"/>
        <w:jc w:val="both"/>
        <w:rPr>
          <w:sz w:val="24"/>
          <w:u w:val="single"/>
          <w:lang w:val="uk-UA"/>
        </w:rPr>
      </w:pPr>
    </w:p>
    <w:p w:rsidR="000F291F" w:rsidRPr="00B57BC0" w:rsidRDefault="000F291F" w:rsidP="000F291F">
      <w:pPr>
        <w:pStyle w:val="1"/>
        <w:jc w:val="both"/>
        <w:rPr>
          <w:sz w:val="24"/>
          <w:u w:val="single"/>
          <w:lang w:val="uk-UA"/>
        </w:rPr>
      </w:pPr>
      <w:r w:rsidRPr="00B57BC0">
        <w:rPr>
          <w:sz w:val="24"/>
          <w:u w:val="single"/>
          <w:lang w:val="uk-UA"/>
        </w:rPr>
        <w:t>НАОЧНІ  МАТЕРІАЛИ</w:t>
      </w:r>
    </w:p>
    <w:p w:rsidR="000F291F" w:rsidRPr="00B57BC0" w:rsidRDefault="000F291F" w:rsidP="000F291F">
      <w:pPr>
        <w:pStyle w:val="1"/>
        <w:jc w:val="both"/>
        <w:rPr>
          <w:sz w:val="24"/>
          <w:lang w:val="uk-UA"/>
        </w:rPr>
      </w:pPr>
      <w:r w:rsidRPr="00B57BC0">
        <w:rPr>
          <w:sz w:val="24"/>
          <w:lang w:val="uk-UA"/>
        </w:rPr>
        <w:t>Провідним є праця біля ліжка хворого і клінічний розбір тематичних хворих, мікрокурація, опанування практичними навичками обстеження і лікувальних маніпуляцій. При відсутності тематичних хворих демонструються хворі з подібною симптоматикою в плані диференціальної діагностики, копії архівних історій хвороб, діапозитиви, макро- і мікропрепарати, муляжі, схеми і таблиці.</w:t>
      </w:r>
    </w:p>
    <w:p w:rsidR="000F291F" w:rsidRPr="00B57BC0" w:rsidRDefault="000F291F" w:rsidP="000F291F">
      <w:pPr>
        <w:pStyle w:val="1"/>
        <w:jc w:val="both"/>
        <w:rPr>
          <w:sz w:val="24"/>
          <w:lang w:val="uk-UA"/>
        </w:rPr>
      </w:pPr>
      <w:r w:rsidRPr="00B57BC0">
        <w:rPr>
          <w:sz w:val="24"/>
          <w:lang w:val="uk-UA"/>
        </w:rPr>
        <w:t>Початок занять: 9.00 годин.</w:t>
      </w:r>
    </w:p>
    <w:p w:rsidR="000F291F" w:rsidRPr="00B57BC0" w:rsidRDefault="000F291F" w:rsidP="000F291F">
      <w:pPr>
        <w:pStyle w:val="1"/>
        <w:jc w:val="center"/>
        <w:rPr>
          <w:sz w:val="24"/>
          <w:lang w:val="uk-UA"/>
        </w:rPr>
      </w:pPr>
    </w:p>
    <w:p w:rsidR="000F291F" w:rsidRPr="00B57BC0" w:rsidRDefault="000F291F" w:rsidP="000F291F">
      <w:pPr>
        <w:pStyle w:val="1"/>
        <w:jc w:val="center"/>
        <w:rPr>
          <w:sz w:val="24"/>
          <w:lang w:val="uk-UA"/>
        </w:rPr>
      </w:pPr>
      <w:r w:rsidRPr="00B57BC0">
        <w:rPr>
          <w:sz w:val="24"/>
          <w:lang w:val="uk-UA"/>
        </w:rPr>
        <w:t>Завідувач кафедри</w:t>
      </w:r>
      <w:r w:rsidRPr="00B57BC0">
        <w:rPr>
          <w:sz w:val="24"/>
          <w:lang w:val="uk-UA"/>
        </w:rPr>
        <w:tab/>
      </w:r>
      <w:r w:rsidRPr="00B57BC0">
        <w:rPr>
          <w:sz w:val="24"/>
          <w:lang w:val="uk-UA"/>
        </w:rPr>
        <w:tab/>
      </w:r>
      <w:r w:rsidRPr="00B57BC0">
        <w:rPr>
          <w:sz w:val="24"/>
          <w:lang w:val="uk-UA"/>
        </w:rPr>
        <w:tab/>
      </w:r>
      <w:r w:rsidRPr="00B57BC0">
        <w:rPr>
          <w:sz w:val="24"/>
          <w:lang w:val="uk-UA"/>
        </w:rPr>
        <w:tab/>
      </w:r>
      <w:r w:rsidRPr="00B57BC0">
        <w:rPr>
          <w:sz w:val="24"/>
          <w:lang w:val="uk-UA"/>
        </w:rPr>
        <w:tab/>
      </w:r>
      <w:r w:rsidRPr="00B57BC0">
        <w:rPr>
          <w:sz w:val="24"/>
          <w:lang w:val="uk-UA"/>
        </w:rPr>
        <w:tab/>
      </w:r>
      <w:r w:rsidRPr="00B57BC0">
        <w:rPr>
          <w:sz w:val="24"/>
          <w:lang w:val="uk-UA"/>
        </w:rPr>
        <w:tab/>
        <w:t>професор Зінчук О.М.</w:t>
      </w:r>
    </w:p>
    <w:p w:rsidR="009D701D" w:rsidRPr="000F291F" w:rsidRDefault="000F291F" w:rsidP="000F291F">
      <w:bookmarkStart w:id="0" w:name="_GoBack"/>
      <w:bookmarkEnd w:id="0"/>
    </w:p>
    <w:sectPr w:rsidR="009D701D" w:rsidRPr="000F29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B4AA5"/>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EB"/>
    <w:rsid w:val="00046DFB"/>
    <w:rsid w:val="000F291F"/>
    <w:rsid w:val="00553B50"/>
    <w:rsid w:val="008C0AEB"/>
    <w:rsid w:val="00EC1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2E961-3092-4A67-9914-54E1C239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EB"/>
    <w:pPr>
      <w:spacing w:after="0" w:line="480" w:lineRule="atLeast"/>
      <w:ind w:firstLine="454"/>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8C0AEB"/>
    <w:pPr>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5148</Words>
  <Characters>2935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Задорожний Андрій</dc:creator>
  <cp:keywords/>
  <dc:description/>
  <cp:lastModifiedBy>Задорожний Андрій</cp:lastModifiedBy>
  <cp:revision>3</cp:revision>
  <dcterms:created xsi:type="dcterms:W3CDTF">2016-08-18T09:46:00Z</dcterms:created>
  <dcterms:modified xsi:type="dcterms:W3CDTF">2018-03-08T17:11:00Z</dcterms:modified>
</cp:coreProperties>
</file>